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32" w:lineRule="atLeast"/>
        <w:jc w:val="center"/>
        <w:rPr>
          <w:rFonts w:ascii="黑体" w:hAnsi="黑体" w:eastAsia="黑体"/>
          <w:color w:val="000000"/>
          <w:sz w:val="36"/>
          <w:szCs w:val="36"/>
        </w:rPr>
      </w:pPr>
      <w:bookmarkStart w:id="0" w:name="OLE_LINK2"/>
      <w:bookmarkStart w:id="1" w:name="OLE_LINK1"/>
      <w:r>
        <w:rPr>
          <w:rFonts w:hint="eastAsia" w:ascii="黑体" w:hAnsi="黑体" w:eastAsia="黑体"/>
          <w:color w:val="000000"/>
          <w:sz w:val="36"/>
          <w:szCs w:val="36"/>
        </w:rPr>
        <w:t>浙江省教育科学规划课题管理办法</w:t>
      </w:r>
    </w:p>
    <w:p>
      <w:pPr>
        <w:pStyle w:val="6"/>
        <w:spacing w:before="0" w:beforeAutospacing="0" w:after="0" w:afterAutospacing="0" w:line="432" w:lineRule="atLeast"/>
        <w:jc w:val="center"/>
        <w:rPr>
          <w:rFonts w:ascii="黑体" w:hAnsi="黑体" w:eastAsia="黑体"/>
          <w:color w:val="000000"/>
          <w:sz w:val="36"/>
          <w:szCs w:val="36"/>
        </w:rPr>
      </w:pPr>
      <w:r>
        <w:rPr>
          <w:rFonts w:hint="eastAsia" w:ascii="黑体" w:hAnsi="黑体" w:eastAsia="黑体"/>
          <w:color w:val="000000"/>
          <w:sz w:val="36"/>
          <w:szCs w:val="36"/>
        </w:rPr>
        <w:t>(2018年10月修订)</w:t>
      </w:r>
    </w:p>
    <w:p>
      <w:pPr>
        <w:pStyle w:val="6"/>
        <w:numPr>
          <w:ilvl w:val="0"/>
          <w:numId w:val="1"/>
        </w:numPr>
        <w:spacing w:before="0" w:beforeAutospacing="0" w:after="0" w:afterAutospacing="0" w:line="432" w:lineRule="atLeast"/>
        <w:jc w:val="center"/>
        <w:rPr>
          <w:rFonts w:ascii="黑体" w:hAnsi="黑体" w:eastAsia="黑体"/>
          <w:color w:val="000000"/>
        </w:rPr>
      </w:pPr>
      <w:r>
        <w:rPr>
          <w:rFonts w:hint="eastAsia" w:ascii="黑体" w:hAnsi="黑体" w:eastAsia="黑体"/>
          <w:color w:val="000000"/>
        </w:rPr>
        <w:t xml:space="preserve"> 总则</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第一条 为进一步加强和完善教育科学研究管理，规范浙江省教育科学规划各类课题，提高教育科学研究水平,促进我省教育科学事业的繁荣与发展,特制定本办法。</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第二条 浙江省教育科学规划课题必须坚持把握正确的政治方向，遵循党和国家的教育方针，解决教育教学中遇到的实际问题，促进浙江省</w:t>
      </w:r>
      <w:r>
        <w:rPr>
          <w:rFonts w:ascii="仿宋" w:hAnsi="仿宋" w:eastAsia="仿宋"/>
          <w:color w:val="000000"/>
        </w:rPr>
        <w:t>教育事业的</w:t>
      </w:r>
      <w:r>
        <w:rPr>
          <w:rFonts w:hint="eastAsia" w:ascii="仿宋" w:hAnsi="仿宋" w:eastAsia="仿宋"/>
          <w:color w:val="000000"/>
        </w:rPr>
        <w:t>全面</w:t>
      </w:r>
      <w:r>
        <w:rPr>
          <w:rFonts w:ascii="仿宋" w:hAnsi="仿宋" w:eastAsia="仿宋"/>
          <w:color w:val="000000"/>
        </w:rPr>
        <w:t>发展</w:t>
      </w:r>
      <w:r>
        <w:rPr>
          <w:rFonts w:hint="eastAsia" w:ascii="仿宋" w:hAnsi="仿宋" w:eastAsia="仿宋"/>
          <w:color w:val="000000"/>
        </w:rPr>
        <w:t>。课题的研究目标和内容明确具体，研究思路清晰，研究方法科学，研究结果富有成效。</w:t>
      </w:r>
    </w:p>
    <w:p>
      <w:pPr>
        <w:pStyle w:val="6"/>
        <w:wordWrap w:val="0"/>
        <w:spacing w:before="0" w:beforeAutospacing="0" w:after="0" w:afterAutospacing="0" w:line="432" w:lineRule="atLeast"/>
        <w:ind w:firstLine="480" w:firstLineChars="200"/>
        <w:rPr>
          <w:rFonts w:ascii="仿宋" w:hAnsi="仿宋" w:eastAsia="仿宋"/>
          <w:color w:val="000000"/>
        </w:rPr>
      </w:pPr>
    </w:p>
    <w:p>
      <w:pPr>
        <w:pStyle w:val="6"/>
        <w:spacing w:before="0" w:beforeAutospacing="0" w:after="0" w:afterAutospacing="0" w:line="432" w:lineRule="atLeast"/>
        <w:ind w:firstLine="480" w:firstLineChars="200"/>
        <w:jc w:val="center"/>
        <w:rPr>
          <w:rFonts w:ascii="黑体" w:hAnsi="黑体" w:eastAsia="黑体"/>
          <w:color w:val="000000"/>
        </w:rPr>
      </w:pPr>
      <w:r>
        <w:rPr>
          <w:rFonts w:hint="eastAsia" w:ascii="黑体" w:hAnsi="黑体" w:eastAsia="黑体"/>
          <w:color w:val="000000"/>
        </w:rPr>
        <w:t>第二章 课题的分类</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第三条 浙江省教育科学规划课题，根据课题的重要性和研究范围，分为浙江省</w:t>
      </w:r>
      <w:r>
        <w:rPr>
          <w:rFonts w:ascii="仿宋" w:hAnsi="仿宋" w:eastAsia="仿宋"/>
          <w:color w:val="000000"/>
        </w:rPr>
        <w:t>教育科学规划重点课题</w:t>
      </w:r>
      <w:r>
        <w:rPr>
          <w:rFonts w:hint="eastAsia" w:ascii="仿宋" w:hAnsi="仿宋" w:eastAsia="仿宋"/>
          <w:color w:val="000000"/>
        </w:rPr>
        <w:t>（简称“省</w:t>
      </w:r>
      <w:r>
        <w:rPr>
          <w:rFonts w:ascii="仿宋" w:hAnsi="仿宋" w:eastAsia="仿宋"/>
          <w:color w:val="000000"/>
        </w:rPr>
        <w:t>重点课题”</w:t>
      </w:r>
      <w:r>
        <w:rPr>
          <w:rFonts w:hint="eastAsia" w:ascii="仿宋" w:hAnsi="仿宋" w:eastAsia="仿宋"/>
          <w:color w:val="000000"/>
        </w:rPr>
        <w:t>,</w:t>
      </w:r>
      <w:r>
        <w:rPr>
          <w:rFonts w:ascii="仿宋" w:hAnsi="仿宋" w:eastAsia="仿宋"/>
          <w:color w:val="000000"/>
        </w:rPr>
        <w:t>编号序列为</w:t>
      </w:r>
      <w:r>
        <w:rPr>
          <w:rFonts w:hint="eastAsia" w:ascii="仿宋" w:hAnsi="仿宋" w:eastAsia="仿宋"/>
          <w:color w:val="000000"/>
        </w:rPr>
        <w:t>SB</w:t>
      </w:r>
      <w:r>
        <w:rPr>
          <w:rFonts w:ascii="仿宋" w:hAnsi="仿宋" w:eastAsia="仿宋"/>
          <w:color w:val="000000"/>
        </w:rPr>
        <w:t>）</w:t>
      </w:r>
      <w:r>
        <w:rPr>
          <w:rFonts w:hint="eastAsia" w:ascii="仿宋" w:hAnsi="仿宋" w:eastAsia="仿宋"/>
          <w:color w:val="000000"/>
        </w:rPr>
        <w:t>、浙江省教育科学规划一般课题（简称</w:t>
      </w:r>
      <w:r>
        <w:rPr>
          <w:rFonts w:ascii="仿宋" w:hAnsi="仿宋" w:eastAsia="仿宋"/>
          <w:color w:val="000000"/>
        </w:rPr>
        <w:t>“</w:t>
      </w:r>
      <w:r>
        <w:rPr>
          <w:rFonts w:hint="eastAsia" w:ascii="仿宋" w:hAnsi="仿宋" w:eastAsia="仿宋"/>
          <w:color w:val="000000"/>
        </w:rPr>
        <w:t>省</w:t>
      </w:r>
      <w:r>
        <w:rPr>
          <w:rFonts w:ascii="仿宋" w:hAnsi="仿宋" w:eastAsia="仿宋"/>
          <w:color w:val="000000"/>
        </w:rPr>
        <w:t>规划课题”</w:t>
      </w:r>
      <w:r>
        <w:rPr>
          <w:rFonts w:hint="eastAsia" w:ascii="仿宋" w:hAnsi="仿宋" w:eastAsia="仿宋"/>
          <w:color w:val="000000"/>
        </w:rPr>
        <w:t>，</w:t>
      </w:r>
      <w:r>
        <w:rPr>
          <w:rFonts w:ascii="仿宋" w:hAnsi="仿宋" w:eastAsia="仿宋"/>
          <w:color w:val="000000"/>
        </w:rPr>
        <w:t>编号序列为</w:t>
      </w:r>
      <w:r>
        <w:rPr>
          <w:rFonts w:hint="eastAsia" w:ascii="仿宋" w:hAnsi="仿宋" w:eastAsia="仿宋"/>
          <w:color w:val="000000"/>
        </w:rPr>
        <w:t>SC,其中高校</w:t>
      </w:r>
      <w:r>
        <w:rPr>
          <w:rFonts w:ascii="仿宋" w:hAnsi="仿宋" w:eastAsia="仿宋"/>
          <w:color w:val="000000"/>
        </w:rPr>
        <w:t>省规划</w:t>
      </w:r>
      <w:r>
        <w:rPr>
          <w:rFonts w:hint="eastAsia" w:ascii="仿宋" w:hAnsi="仿宋" w:eastAsia="仿宋"/>
          <w:color w:val="000000"/>
        </w:rPr>
        <w:t>课题编号</w:t>
      </w:r>
      <w:r>
        <w:rPr>
          <w:rFonts w:ascii="仿宋" w:hAnsi="仿宋" w:eastAsia="仿宋"/>
          <w:color w:val="000000"/>
        </w:rPr>
        <w:t>序列为</w:t>
      </w:r>
      <w:r>
        <w:rPr>
          <w:rFonts w:hint="eastAsia" w:ascii="仿宋" w:hAnsi="仿宋" w:eastAsia="仿宋"/>
          <w:color w:val="000000"/>
        </w:rPr>
        <w:t>SCG</w:t>
      </w:r>
      <w:r>
        <w:rPr>
          <w:rFonts w:ascii="仿宋" w:hAnsi="仿宋" w:eastAsia="仿宋"/>
          <w:color w:val="000000"/>
        </w:rPr>
        <w:t>）</w:t>
      </w:r>
      <w:r>
        <w:rPr>
          <w:rFonts w:hint="eastAsia" w:ascii="仿宋" w:hAnsi="仿宋" w:eastAsia="仿宋"/>
          <w:color w:val="000000"/>
        </w:rPr>
        <w:t>和仅限中小学申报的浙江省体育卫生艺术专项课题（简称</w:t>
      </w:r>
      <w:r>
        <w:rPr>
          <w:rFonts w:ascii="仿宋" w:hAnsi="仿宋" w:eastAsia="仿宋"/>
          <w:color w:val="000000"/>
        </w:rPr>
        <w:t>“</w:t>
      </w:r>
      <w:r>
        <w:rPr>
          <w:rFonts w:hint="eastAsia" w:ascii="仿宋" w:hAnsi="仿宋" w:eastAsia="仿宋"/>
          <w:color w:val="000000"/>
        </w:rPr>
        <w:t>体卫艺</w:t>
      </w:r>
      <w:r>
        <w:rPr>
          <w:rFonts w:ascii="仿宋" w:hAnsi="仿宋" w:eastAsia="仿宋"/>
          <w:color w:val="000000"/>
        </w:rPr>
        <w:t>课题”</w:t>
      </w:r>
      <w:r>
        <w:rPr>
          <w:rFonts w:hint="eastAsia" w:ascii="仿宋" w:hAnsi="仿宋" w:eastAsia="仿宋"/>
          <w:color w:val="000000"/>
        </w:rPr>
        <w:t>，</w:t>
      </w:r>
      <w:r>
        <w:rPr>
          <w:rFonts w:ascii="仿宋" w:hAnsi="仿宋" w:eastAsia="仿宋"/>
          <w:color w:val="000000"/>
        </w:rPr>
        <w:t>编号序列为</w:t>
      </w:r>
      <w:r>
        <w:rPr>
          <w:rFonts w:hint="eastAsia" w:ascii="仿宋" w:hAnsi="仿宋" w:eastAsia="仿宋"/>
          <w:color w:val="000000"/>
        </w:rPr>
        <w:t>STWY）。</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第四条 省重点课题指在规划课题研究基础上需要继续深入研究的，有重大理论和应用价值的课题，研究周期一般为三年，至多不超过四年。</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第五条 省规划课题和专项课题指教育教学具体领域的课题，研究周期一般为两年，至多不超过三年。</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第六条 以上研究周期从课题立项通知公布之日起计算。</w:t>
      </w:r>
    </w:p>
    <w:p>
      <w:pPr>
        <w:pStyle w:val="6"/>
        <w:wordWrap w:val="0"/>
        <w:spacing w:before="0" w:beforeAutospacing="0" w:after="0" w:afterAutospacing="0" w:line="432" w:lineRule="atLeast"/>
        <w:rPr>
          <w:rFonts w:hint="eastAsia" w:ascii="仿宋" w:hAnsi="仿宋" w:eastAsia="仿宋"/>
          <w:color w:val="000000"/>
          <w:lang w:eastAsia="zh-CN"/>
        </w:rPr>
      </w:pPr>
      <w:r>
        <w:rPr>
          <w:rFonts w:hint="eastAsia" w:ascii="仿宋" w:hAnsi="仿宋" w:eastAsia="仿宋"/>
          <w:color w:val="000000"/>
        </w:rPr>
        <w:t xml:space="preserve">    第七条 根据我省教育事业发展需要，浙江省教育科学规划领导小组办公室将不定期设立重大课题和其它专项课题。</w:t>
      </w:r>
      <w:r>
        <w:rPr>
          <w:rFonts w:hint="eastAsia" w:ascii="仿宋" w:hAnsi="仿宋" w:eastAsia="仿宋"/>
          <w:color w:val="000000"/>
          <w:lang w:eastAsia="zh-CN"/>
        </w:rPr>
        <w:t>新增课题另行编号，专项课题与一般课题同级别。</w:t>
      </w:r>
    </w:p>
    <w:p>
      <w:pPr>
        <w:pStyle w:val="6"/>
        <w:wordWrap w:val="0"/>
        <w:spacing w:before="0" w:beforeAutospacing="0" w:after="0" w:afterAutospacing="0" w:line="432" w:lineRule="atLeast"/>
        <w:ind w:firstLine="480" w:firstLineChars="200"/>
        <w:rPr>
          <w:rFonts w:ascii="仿宋" w:hAnsi="仿宋" w:eastAsia="仿宋"/>
          <w:color w:val="000000"/>
        </w:rPr>
      </w:pPr>
    </w:p>
    <w:p>
      <w:pPr>
        <w:pStyle w:val="6"/>
        <w:spacing w:before="0" w:beforeAutospacing="0" w:after="0" w:afterAutospacing="0" w:line="432" w:lineRule="atLeast"/>
        <w:ind w:firstLine="480" w:firstLineChars="200"/>
        <w:jc w:val="center"/>
        <w:rPr>
          <w:rFonts w:ascii="黑体" w:hAnsi="黑体" w:eastAsia="黑体"/>
          <w:color w:val="000000"/>
        </w:rPr>
      </w:pPr>
      <w:r>
        <w:rPr>
          <w:rFonts w:hint="eastAsia" w:ascii="黑体" w:hAnsi="黑体" w:eastAsia="黑体"/>
          <w:color w:val="000000"/>
        </w:rPr>
        <w:t>第三章 课题的申报</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第八条 浙江省教育科学规划课题每年申报一次，具体申报流程为：个人申报——基层管理单位限额审核推荐（省直单位依据指标数直接向省教科规划办申报）——省教育科学规划办启动立项评审——公示拟立项名单——公布立项名单。</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第九条 课题申报人必须实际主持课题的研究工作，并在研究工作中承担实质性任务。</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第十条 课题申报人不得同时申报两项及以上课题,不得通过不同渠道申报同一内容课题。</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第十一条 已有浙江省教育科学规划在研课题或同一研究内容已在省级及以上立项的均不得申报。</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第十二条 有被浙江省教育科学规划办撤项的课题申报人自撤项之年起两年内不得申报。</w:t>
      </w:r>
    </w:p>
    <w:p>
      <w:pPr>
        <w:pStyle w:val="6"/>
        <w:wordWrap w:val="0"/>
        <w:spacing w:before="0" w:beforeAutospacing="0" w:after="0" w:afterAutospacing="0" w:line="432" w:lineRule="atLeast"/>
        <w:rPr>
          <w:rFonts w:ascii="仿宋" w:hAnsi="仿宋" w:eastAsia="仿宋"/>
          <w:color w:val="000000"/>
        </w:rPr>
      </w:pPr>
    </w:p>
    <w:p>
      <w:pPr>
        <w:pStyle w:val="6"/>
        <w:spacing w:before="0" w:beforeAutospacing="0" w:after="0" w:afterAutospacing="0" w:line="432" w:lineRule="atLeast"/>
        <w:ind w:firstLine="480" w:firstLineChars="200"/>
        <w:jc w:val="center"/>
        <w:rPr>
          <w:rFonts w:ascii="黑体" w:hAnsi="黑体" w:eastAsia="黑体"/>
          <w:color w:val="000000"/>
        </w:rPr>
      </w:pPr>
      <w:r>
        <w:rPr>
          <w:rFonts w:hint="eastAsia" w:ascii="黑体" w:hAnsi="黑体" w:eastAsia="黑体"/>
          <w:color w:val="000000"/>
        </w:rPr>
        <w:t>第四章 课题的分级管理</w:t>
      </w:r>
    </w:p>
    <w:p>
      <w:pPr>
        <w:pStyle w:val="6"/>
        <w:wordWrap w:val="0"/>
        <w:spacing w:before="0" w:beforeAutospacing="0" w:after="0" w:afterAutospacing="0" w:line="432" w:lineRule="atLeast"/>
        <w:ind w:firstLine="480" w:firstLineChars="200"/>
        <w:rPr>
          <w:rFonts w:ascii="仿宋" w:hAnsi="仿宋" w:eastAsia="仿宋"/>
        </w:rPr>
      </w:pPr>
      <w:r>
        <w:rPr>
          <w:rFonts w:hint="eastAsia" w:ascii="仿宋" w:hAnsi="仿宋" w:eastAsia="仿宋"/>
        </w:rPr>
        <w:t>第十三条 课题负责人需实际参与课题研究，并确保课题研究的开展符合法律法规和学术规范要求；课题负责人有管理、约束课题组成员的义务；课题负责人需对与课题有关的活动全面负责。</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第十四条 基层课题管理部门要定期对所在或所辖部门的省教科规划课题开展检查、监督和指导，可以通过自查、抽查、交叉检查等方式确保课题开展的有序性和规范性。对存在问题的课题及时上报、处理。</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第十五条 省教科规划办对拟立项的课题进行公示后公布，对在研课题履行检查、监督和指导职责，对需要变更、撤项的课题审核处理，对符合结题要求的课题办理结题手续并颁发结题证书。</w:t>
      </w:r>
    </w:p>
    <w:p>
      <w:pPr>
        <w:pStyle w:val="6"/>
        <w:wordWrap w:val="0"/>
        <w:spacing w:before="0" w:beforeAutospacing="0" w:after="0" w:afterAutospacing="0" w:line="432" w:lineRule="atLeast"/>
        <w:rPr>
          <w:rFonts w:ascii="仿宋" w:hAnsi="仿宋" w:eastAsia="仿宋"/>
          <w:color w:val="000000"/>
        </w:rPr>
      </w:pPr>
    </w:p>
    <w:p>
      <w:pPr>
        <w:pStyle w:val="6"/>
        <w:spacing w:before="0" w:beforeAutospacing="0" w:after="0" w:afterAutospacing="0" w:line="432" w:lineRule="atLeast"/>
        <w:jc w:val="center"/>
        <w:rPr>
          <w:rFonts w:ascii="黑体" w:hAnsi="黑体" w:eastAsia="黑体"/>
          <w:color w:val="000000"/>
        </w:rPr>
      </w:pPr>
      <w:r>
        <w:rPr>
          <w:rFonts w:hint="eastAsia" w:ascii="黑体" w:hAnsi="黑体" w:eastAsia="黑体"/>
          <w:color w:val="000000"/>
        </w:rPr>
        <w:t>第五章 课题的变更、延期与撤项</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第十六条 课题原则上需按照课题申报方案开展课题研究，在研究过程中确需对课题负责人、课题名称、课题负责人单位和管理单位等信息进行变更的，需由原课题负责人提出并填写“重要事项变更申请表”，相关人员签字、单位盖章并报送基层课题管理部门同意，省教科规划办审核通过后，方可变更。</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第十七条 重点课题研究周期三年，一般规划课题（含专项）研究周期两年。课题根据研究进展可提前结题。确因研究进展需要延期的，课题负责人须在原定研究周期截止前半年向课题结题管理部门申请延期手续，并报浙江省教育科学规划领导小组办公室备案。重点课题研究周期至多不得超过四年，一般规划课题（含专项）研究周期至多不得超过三年。课题不能因办理过变更手续而延长研究周期，未能按时结题的课题予以撤项处理。</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第十八条 为确保课题研究质量，浙江省教科规划办对存在以下情况的课题进行撤项处理：</w:t>
      </w:r>
    </w:p>
    <w:p>
      <w:pPr>
        <w:pStyle w:val="6"/>
        <w:numPr>
          <w:ilvl w:val="0"/>
          <w:numId w:val="2"/>
        </w:numPr>
        <w:spacing w:before="0" w:beforeAutospacing="0" w:after="0" w:afterAutospacing="0" w:line="432" w:lineRule="atLeast"/>
        <w:rPr>
          <w:rFonts w:ascii="仿宋" w:hAnsi="仿宋" w:eastAsia="仿宋"/>
          <w:color w:val="000000"/>
        </w:rPr>
      </w:pPr>
      <w:r>
        <w:rPr>
          <w:rFonts w:hint="eastAsia" w:ascii="仿宋" w:hAnsi="仿宋" w:eastAsia="仿宋"/>
          <w:color w:val="000000"/>
        </w:rPr>
        <w:t>课题政治方向不正确；</w:t>
      </w:r>
    </w:p>
    <w:p>
      <w:pPr>
        <w:pStyle w:val="6"/>
        <w:numPr>
          <w:ilvl w:val="0"/>
          <w:numId w:val="2"/>
        </w:numPr>
        <w:spacing w:before="0" w:beforeAutospacing="0" w:after="0" w:afterAutospacing="0" w:line="432" w:lineRule="atLeast"/>
        <w:rPr>
          <w:rFonts w:ascii="仿宋" w:hAnsi="仿宋" w:eastAsia="仿宋"/>
          <w:color w:val="000000"/>
        </w:rPr>
      </w:pPr>
      <w:r>
        <w:rPr>
          <w:rFonts w:hint="eastAsia" w:ascii="仿宋" w:hAnsi="仿宋" w:eastAsia="仿宋"/>
          <w:color w:val="000000"/>
        </w:rPr>
        <w:t>超出课题规定的研究周期；</w:t>
      </w:r>
    </w:p>
    <w:p>
      <w:pPr>
        <w:pStyle w:val="6"/>
        <w:numPr>
          <w:ilvl w:val="0"/>
          <w:numId w:val="2"/>
        </w:numPr>
        <w:spacing w:before="0" w:beforeAutospacing="0" w:after="0" w:afterAutospacing="0" w:line="432" w:lineRule="atLeast"/>
        <w:rPr>
          <w:rFonts w:ascii="仿宋" w:hAnsi="仿宋" w:eastAsia="仿宋"/>
          <w:color w:val="000000"/>
        </w:rPr>
      </w:pPr>
      <w:r>
        <w:rPr>
          <w:rFonts w:hint="eastAsia" w:ascii="仿宋" w:hAnsi="仿宋" w:eastAsia="仿宋"/>
          <w:color w:val="000000"/>
        </w:rPr>
        <w:t>课题存在较严重的学术失范行为；</w:t>
      </w:r>
    </w:p>
    <w:p>
      <w:pPr>
        <w:pStyle w:val="6"/>
        <w:numPr>
          <w:ilvl w:val="0"/>
          <w:numId w:val="2"/>
        </w:numPr>
        <w:spacing w:before="0" w:beforeAutospacing="0" w:after="0" w:afterAutospacing="0" w:line="432" w:lineRule="atLeast"/>
        <w:rPr>
          <w:rFonts w:ascii="仿宋" w:hAnsi="仿宋" w:eastAsia="仿宋"/>
          <w:color w:val="000000"/>
        </w:rPr>
      </w:pPr>
      <w:r>
        <w:rPr>
          <w:rFonts w:hint="eastAsia" w:ascii="仿宋" w:hAnsi="仿宋" w:eastAsia="仿宋"/>
          <w:color w:val="000000"/>
        </w:rPr>
        <w:t>课题存在权属问题且不能解决；</w:t>
      </w:r>
    </w:p>
    <w:p>
      <w:pPr>
        <w:pStyle w:val="6"/>
        <w:numPr>
          <w:ilvl w:val="0"/>
          <w:numId w:val="2"/>
        </w:numPr>
        <w:spacing w:before="0" w:beforeAutospacing="0" w:after="0" w:afterAutospacing="0" w:line="432" w:lineRule="atLeast"/>
        <w:rPr>
          <w:rFonts w:ascii="仿宋" w:hAnsi="仿宋" w:eastAsia="仿宋"/>
          <w:color w:val="000000"/>
        </w:rPr>
      </w:pPr>
      <w:r>
        <w:rPr>
          <w:rFonts w:hint="eastAsia" w:ascii="仿宋" w:hAnsi="仿宋" w:eastAsia="仿宋"/>
          <w:color w:val="000000"/>
        </w:rPr>
        <w:t>以课题名义牟取不当利益；</w:t>
      </w:r>
    </w:p>
    <w:p>
      <w:pPr>
        <w:pStyle w:val="6"/>
        <w:numPr>
          <w:ilvl w:val="0"/>
          <w:numId w:val="2"/>
        </w:numPr>
        <w:spacing w:before="0" w:beforeAutospacing="0" w:after="0" w:afterAutospacing="0" w:line="432" w:lineRule="atLeast"/>
        <w:rPr>
          <w:rFonts w:ascii="仿宋" w:hAnsi="仿宋" w:eastAsia="仿宋"/>
          <w:color w:val="000000"/>
        </w:rPr>
      </w:pPr>
      <w:r>
        <w:rPr>
          <w:rFonts w:hint="eastAsia" w:ascii="仿宋" w:hAnsi="仿宋" w:eastAsia="仿宋"/>
          <w:color w:val="000000"/>
        </w:rPr>
        <w:t>以课题名义造成不良社会影响；</w:t>
      </w:r>
    </w:p>
    <w:p>
      <w:pPr>
        <w:pStyle w:val="6"/>
        <w:numPr>
          <w:ilvl w:val="0"/>
          <w:numId w:val="2"/>
        </w:numPr>
        <w:spacing w:before="0" w:beforeAutospacing="0" w:after="0" w:afterAutospacing="0" w:line="432" w:lineRule="atLeast"/>
        <w:rPr>
          <w:rFonts w:ascii="仿宋" w:hAnsi="仿宋" w:eastAsia="仿宋"/>
          <w:color w:val="000000"/>
        </w:rPr>
      </w:pPr>
      <w:r>
        <w:rPr>
          <w:rFonts w:hint="eastAsia" w:ascii="仿宋" w:hAnsi="仿宋" w:eastAsia="仿宋"/>
          <w:color w:val="000000"/>
        </w:rPr>
        <w:t>课题存在其它违反管理办法规定的行为。</w:t>
      </w:r>
    </w:p>
    <w:p>
      <w:pPr>
        <w:pStyle w:val="6"/>
        <w:spacing w:before="0" w:beforeAutospacing="0" w:after="0" w:afterAutospacing="0" w:line="432" w:lineRule="atLeast"/>
        <w:jc w:val="center"/>
        <w:rPr>
          <w:rFonts w:ascii="仿宋" w:hAnsi="仿宋" w:eastAsia="仿宋"/>
          <w:color w:val="000000"/>
        </w:rPr>
      </w:pPr>
    </w:p>
    <w:p>
      <w:pPr>
        <w:pStyle w:val="6"/>
        <w:spacing w:before="0" w:beforeAutospacing="0" w:after="0" w:afterAutospacing="0" w:line="432" w:lineRule="atLeast"/>
        <w:jc w:val="center"/>
        <w:rPr>
          <w:rFonts w:ascii="黑体" w:hAnsi="黑体" w:eastAsia="黑体"/>
          <w:color w:val="000000"/>
        </w:rPr>
      </w:pPr>
      <w:r>
        <w:rPr>
          <w:rFonts w:hint="eastAsia" w:ascii="黑体" w:hAnsi="黑体" w:eastAsia="黑体"/>
          <w:color w:val="000000"/>
        </w:rPr>
        <w:t>第六章 课题的结题</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第十九条 列入浙江省教育科学规划的所有课题按期完成后，原则上最终成果均须进行鉴定，通过鉴定后予以验收结题。凡涉及政治、民族、宗教、军事等敏感问题和其他重大舆情相关的研究成果，须先鉴定、领取结题证书后再出版或发表。</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第二十条 课题主要研究内容在全国中文核心期刊上发表1篇及以上论文的重点课题或在省级以上公开刊物上发表1篇及以上论文的一般规划（含专项）课题可免于鉴定。发表的论文以出刊为准，且须在发表刊物中注明 “课题类别 + 课题名称 + 课题批准号”，课题负责人至少有一篇论文为第一作者或通讯作者。获得设区市政府、教育行政部门或科研管理部门二等奖及以上，省政府、省教育行政部门或科研管理部门三等奖及以上，或被省教育科学规划办和厅级以上行政部门采纳的成果可免于鉴定。</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第二十一条 免于鉴定的课题须提供相关符合条件的原件或加盖基层科研管理部门审核公章的复印件一份，在浙江省教育科学规划领导小组办公室备案后办理结题手续。</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第二十二条 课题鉴定采取会议鉴定和通讯鉴定两种方式。成果鉴定组原则上由五位专家组成，超过五位时须呈单数。鉴定专家须具有高级专业技术职务，作风正派，有较高学术水平。课题成果申报人所在单位（高校以二级院系或行政处室为单位）的专家原则上不能参加鉴定。高校社科（科研）处组织的鉴定，聘请的校外专家</w:t>
      </w:r>
      <w:r>
        <w:rPr>
          <w:rFonts w:hint="eastAsia" w:ascii="仿宋" w:hAnsi="仿宋" w:eastAsia="仿宋"/>
          <w:color w:val="000000"/>
          <w:lang w:eastAsia="zh-CN"/>
        </w:rPr>
        <w:t>数</w:t>
      </w:r>
      <w:r>
        <w:rPr>
          <w:rFonts w:hint="eastAsia" w:ascii="仿宋" w:hAnsi="仿宋" w:eastAsia="仿宋"/>
          <w:color w:val="000000"/>
        </w:rPr>
        <w:t>原则上不得少于</w:t>
      </w:r>
      <w:r>
        <w:rPr>
          <w:rFonts w:hint="eastAsia" w:ascii="仿宋" w:hAnsi="仿宋" w:eastAsia="仿宋"/>
          <w:color w:val="000000"/>
          <w:lang w:eastAsia="zh-CN"/>
        </w:rPr>
        <w:t>鉴定组总人数的</w:t>
      </w:r>
      <w:r>
        <w:rPr>
          <w:rFonts w:hint="eastAsia" w:ascii="仿宋" w:hAnsi="仿宋" w:eastAsia="仿宋"/>
          <w:color w:val="000000"/>
        </w:rPr>
        <w:t>40%。</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第二十三条 采取通讯鉴定方式的，鉴定专家分别给出个人书面鉴定意见、分项评定成果等级、给出能否通过课题鉴定的明确意见。鉴定组织单位根据4/5鉴定专家的意见确定课题是否通过鉴定。采取会议鉴定方式的，由鉴定组专家集体评议，鉴定组将集体形成的综合性鉴定意见、成果等级评定和能否通过课题鉴定的明确意见报鉴定组织单位，经省教科规划办审核后确定成果是否通过鉴定。</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第二十四条</w:t>
      </w:r>
      <w:r>
        <w:rPr>
          <w:rFonts w:hint="eastAsia" w:ascii="仿宋" w:hAnsi="仿宋" w:eastAsia="仿宋"/>
          <w:color w:val="FF0000"/>
        </w:rPr>
        <w:t xml:space="preserve"> </w:t>
      </w:r>
      <w:r>
        <w:rPr>
          <w:rFonts w:hint="eastAsia" w:ascii="仿宋" w:hAnsi="仿宋" w:eastAsia="仿宋"/>
        </w:rPr>
        <w:t>编号为SC和</w:t>
      </w:r>
      <w:r>
        <w:rPr>
          <w:rFonts w:hint="eastAsia" w:ascii="仿宋" w:hAnsi="仿宋" w:eastAsia="仿宋"/>
          <w:color w:val="000000"/>
        </w:rPr>
        <w:t>STWY系列课题的结题要求可由地市教科规划办根据地区特点自行制定结题要求，报省教科规划办审批备案后遵照执行。</w:t>
      </w:r>
    </w:p>
    <w:p>
      <w:pPr>
        <w:pStyle w:val="6"/>
        <w:wordWrap w:val="0"/>
        <w:spacing w:before="0" w:beforeAutospacing="0" w:after="0" w:afterAutospacing="0" w:line="432" w:lineRule="atLeast"/>
        <w:rPr>
          <w:rFonts w:ascii="仿宋" w:hAnsi="仿宋" w:eastAsia="仿宋"/>
          <w:color w:val="000000"/>
        </w:rPr>
      </w:pPr>
    </w:p>
    <w:p>
      <w:pPr>
        <w:pStyle w:val="6"/>
        <w:spacing w:before="0" w:beforeAutospacing="0" w:after="0" w:afterAutospacing="0" w:line="432" w:lineRule="atLeast"/>
        <w:jc w:val="center"/>
        <w:rPr>
          <w:rFonts w:ascii="黑体" w:hAnsi="黑体" w:eastAsia="黑体"/>
          <w:color w:val="000000"/>
        </w:rPr>
      </w:pPr>
      <w:r>
        <w:rPr>
          <w:rFonts w:hint="eastAsia" w:ascii="黑体" w:hAnsi="黑体" w:eastAsia="黑体"/>
          <w:color w:val="000000"/>
        </w:rPr>
        <w:t>第七章 课题的经费</w:t>
      </w:r>
    </w:p>
    <w:p>
      <w:pPr>
        <w:pStyle w:val="6"/>
        <w:spacing w:before="0" w:beforeAutospacing="0" w:after="0" w:afterAutospacing="0" w:line="432" w:lineRule="atLeast"/>
        <w:rPr>
          <w:rFonts w:ascii="仿宋" w:hAnsi="仿宋" w:eastAsia="仿宋"/>
          <w:color w:val="000000"/>
        </w:rPr>
      </w:pPr>
    </w:p>
    <w:p>
      <w:pPr>
        <w:pStyle w:val="6"/>
        <w:wordWrap w:val="0"/>
        <w:spacing w:before="0" w:beforeAutospacing="0" w:after="0" w:afterAutospacing="0" w:line="432" w:lineRule="atLeast"/>
        <w:ind w:firstLine="480"/>
        <w:rPr>
          <w:rFonts w:ascii="仿宋" w:hAnsi="仿宋" w:eastAsia="仿宋"/>
          <w:color w:val="000000"/>
        </w:rPr>
      </w:pPr>
      <w:r>
        <w:rPr>
          <w:rFonts w:hint="eastAsia" w:ascii="仿宋" w:hAnsi="仿宋" w:eastAsia="仿宋"/>
          <w:color w:val="000000"/>
        </w:rPr>
        <w:t>第二十五条 浙江省教育科学规划领导小组办公室立项课题</w:t>
      </w:r>
      <w:r>
        <w:rPr>
          <w:rFonts w:hint="eastAsia" w:ascii="仿宋" w:hAnsi="仿宋" w:eastAsia="仿宋"/>
          <w:color w:val="000000"/>
          <w:lang w:eastAsia="zh-CN"/>
        </w:rPr>
        <w:t>的研究</w:t>
      </w:r>
      <w:r>
        <w:rPr>
          <w:rFonts w:hint="eastAsia" w:ascii="仿宋" w:hAnsi="仿宋" w:eastAsia="仿宋"/>
          <w:color w:val="000000"/>
        </w:rPr>
        <w:t>经费，原则上由课题负责人所在单位自行解决。如有经费资助情况，按经费管理办法执行。</w:t>
      </w:r>
    </w:p>
    <w:p>
      <w:pPr>
        <w:pStyle w:val="6"/>
        <w:wordWrap w:val="0"/>
        <w:spacing w:before="0" w:beforeAutospacing="0" w:after="0" w:afterAutospacing="0" w:line="432" w:lineRule="atLeast"/>
        <w:rPr>
          <w:rFonts w:ascii="仿宋" w:hAnsi="仿宋" w:eastAsia="仿宋"/>
          <w:color w:val="000000"/>
        </w:rPr>
      </w:pPr>
    </w:p>
    <w:p>
      <w:pPr>
        <w:pStyle w:val="6"/>
        <w:spacing w:before="0" w:beforeAutospacing="0" w:after="0" w:afterAutospacing="0" w:line="432" w:lineRule="atLeast"/>
        <w:jc w:val="center"/>
        <w:rPr>
          <w:rFonts w:ascii="黑体" w:hAnsi="黑体" w:eastAsia="黑体"/>
          <w:color w:val="000000"/>
        </w:rPr>
      </w:pPr>
      <w:r>
        <w:rPr>
          <w:rFonts w:hint="eastAsia" w:ascii="黑体" w:hAnsi="黑体" w:eastAsia="黑体"/>
          <w:color w:val="000000"/>
        </w:rPr>
        <w:t>第八章 课题的评奖</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第二十六条 浙江省教育科学规划领导小组办公室每年进行一次浙江省教育科学规划</w:t>
      </w:r>
      <w:r>
        <w:rPr>
          <w:rFonts w:hint="eastAsia" w:ascii="仿宋" w:hAnsi="仿宋" w:eastAsia="仿宋"/>
          <w:color w:val="000000"/>
          <w:lang w:eastAsia="zh-CN"/>
        </w:rPr>
        <w:t>课题</w:t>
      </w:r>
      <w:r>
        <w:rPr>
          <w:rFonts w:hint="eastAsia" w:ascii="仿宋" w:hAnsi="仿宋" w:eastAsia="仿宋"/>
          <w:color w:val="000000"/>
        </w:rPr>
        <w:t>优秀成果奖的评选，候选成果在省级及以上教科规划系列已结题的成果中产生，由基层科研管理单位限额推荐。</w:t>
      </w:r>
      <w:bookmarkStart w:id="2" w:name="_GoBack"/>
      <w:bookmarkEnd w:id="2"/>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第二十七条 获奖成果经公示后由省教科规划办公布并颁发证书。</w:t>
      </w:r>
    </w:p>
    <w:p>
      <w:pPr>
        <w:pStyle w:val="6"/>
        <w:wordWrap w:val="0"/>
        <w:spacing w:before="0" w:beforeAutospacing="0" w:after="0" w:afterAutospacing="0" w:line="432" w:lineRule="atLeast"/>
        <w:rPr>
          <w:rFonts w:ascii="仿宋" w:hAnsi="仿宋" w:eastAsia="仿宋"/>
          <w:color w:val="000000"/>
        </w:rPr>
      </w:pPr>
    </w:p>
    <w:p>
      <w:pPr>
        <w:pStyle w:val="6"/>
        <w:spacing w:before="0" w:beforeAutospacing="0" w:after="0" w:afterAutospacing="0" w:line="432" w:lineRule="atLeast"/>
        <w:jc w:val="center"/>
        <w:rPr>
          <w:rFonts w:ascii="黑体" w:hAnsi="黑体" w:eastAsia="黑体"/>
          <w:color w:val="000000"/>
        </w:rPr>
      </w:pPr>
      <w:r>
        <w:rPr>
          <w:rFonts w:hint="eastAsia" w:ascii="黑体" w:hAnsi="黑体" w:eastAsia="黑体"/>
          <w:color w:val="000000"/>
        </w:rPr>
        <w:t>第九章 课题的使用与推广</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第二十八条 省教科规划办有权保留报送课题成果的原件、复印件、摘要和电子版，在注明权属的情况下公布课题研究成果的全部或部分内容，在注明权属的情况下课题成果供他人查阅和借阅。</w:t>
      </w:r>
    </w:p>
    <w:p>
      <w:pPr>
        <w:pStyle w:val="6"/>
        <w:spacing w:before="0" w:beforeAutospacing="0" w:after="0" w:afterAutospacing="0" w:line="432" w:lineRule="atLeast"/>
        <w:ind w:firstLine="465"/>
        <w:rPr>
          <w:rFonts w:ascii="仿宋" w:hAnsi="仿宋" w:eastAsia="仿宋"/>
          <w:color w:val="000000"/>
        </w:rPr>
      </w:pPr>
      <w:r>
        <w:rPr>
          <w:rFonts w:hint="eastAsia" w:ascii="仿宋" w:hAnsi="仿宋" w:eastAsia="仿宋"/>
          <w:color w:val="000000"/>
        </w:rPr>
        <w:t>第二十九条 省教科规划办有权推广课题的研究成果，在注明权属的情况下通过内部报告、学术会议、报刊书籍、大众媒体、专门网站等形式对课题研究成果进行宣传、试验和</w:t>
      </w:r>
      <w:r>
        <w:rPr>
          <w:rFonts w:hint="eastAsia" w:ascii="仿宋" w:hAnsi="仿宋" w:eastAsia="仿宋"/>
        </w:rPr>
        <w:t>推广</w:t>
      </w:r>
      <w:r>
        <w:rPr>
          <w:rFonts w:hint="eastAsia" w:ascii="仿宋" w:hAnsi="仿宋" w:eastAsia="仿宋"/>
          <w:color w:val="000000"/>
        </w:rPr>
        <w:t>。</w:t>
      </w:r>
    </w:p>
    <w:p>
      <w:pPr>
        <w:pStyle w:val="6"/>
        <w:spacing w:before="0" w:beforeAutospacing="0" w:after="0" w:afterAutospacing="0" w:line="432" w:lineRule="atLeast"/>
        <w:ind w:firstLine="360" w:firstLineChars="150"/>
        <w:jc w:val="center"/>
        <w:rPr>
          <w:rFonts w:ascii="黑体" w:hAnsi="黑体" w:eastAsia="黑体"/>
          <w:color w:val="000000"/>
        </w:rPr>
      </w:pPr>
      <w:r>
        <w:rPr>
          <w:rFonts w:hint="eastAsia" w:ascii="黑体" w:hAnsi="黑体" w:eastAsia="黑体"/>
          <w:color w:val="000000"/>
        </w:rPr>
        <w:t>第十章 附则</w:t>
      </w:r>
    </w:p>
    <w:p>
      <w:pPr>
        <w:pStyle w:val="6"/>
        <w:wordWrap w:val="0"/>
        <w:spacing w:before="0" w:beforeAutospacing="0" w:after="0" w:afterAutospacing="0" w:line="432" w:lineRule="atLeast"/>
        <w:ind w:firstLine="480" w:firstLineChars="200"/>
        <w:rPr>
          <w:rFonts w:ascii="仿宋" w:hAnsi="仿宋" w:eastAsia="仿宋"/>
          <w:color w:val="000000"/>
        </w:rPr>
      </w:pPr>
      <w:r>
        <w:rPr>
          <w:rFonts w:hint="eastAsia" w:ascii="仿宋" w:hAnsi="仿宋" w:eastAsia="仿宋"/>
          <w:color w:val="000000"/>
        </w:rPr>
        <w:t>第三十条 本办法自公布之日起实施，解释权属浙江省教育科学规划领导小组办公室。</w:t>
      </w:r>
      <w:bookmarkEnd w:id="0"/>
      <w:bookmarkEnd w:id="1"/>
    </w:p>
    <w:p>
      <w:pPr>
        <w:pStyle w:val="6"/>
        <w:wordWrap w:val="0"/>
        <w:spacing w:before="0" w:beforeAutospacing="0" w:after="0" w:afterAutospacing="0" w:line="432" w:lineRule="atLeast"/>
        <w:rPr>
          <w:rFonts w:ascii="仿宋" w:hAnsi="仿宋" w:eastAsia="仿宋"/>
          <w:color w:val="000000"/>
        </w:rPr>
      </w:pPr>
    </w:p>
    <w:p>
      <w:pPr>
        <w:pStyle w:val="6"/>
        <w:wordWrap w:val="0"/>
        <w:spacing w:before="0" w:beforeAutospacing="0" w:after="0" w:afterAutospacing="0" w:line="432" w:lineRule="atLeast"/>
        <w:rPr>
          <w:rFonts w:ascii="仿宋" w:hAnsi="仿宋" w:eastAsia="仿宋"/>
          <w:color w:val="000000"/>
        </w:rPr>
      </w:pPr>
    </w:p>
    <w:p>
      <w:pPr>
        <w:pStyle w:val="6"/>
        <w:wordWrap w:val="0"/>
        <w:spacing w:before="0" w:beforeAutospacing="0" w:after="0" w:afterAutospacing="0" w:line="432" w:lineRule="atLeast"/>
        <w:rPr>
          <w:rFonts w:ascii="仿宋" w:hAnsi="仿宋" w:eastAsia="仿宋"/>
          <w:color w:val="000000"/>
        </w:rPr>
      </w:pPr>
    </w:p>
    <w:p>
      <w:pPr>
        <w:pStyle w:val="6"/>
        <w:spacing w:before="0" w:beforeAutospacing="0" w:after="0" w:afterAutospacing="0" w:line="432" w:lineRule="atLeast"/>
        <w:jc w:val="right"/>
        <w:rPr>
          <w:rFonts w:ascii="仿宋" w:hAnsi="仿宋" w:eastAsia="仿宋"/>
          <w:color w:val="000000"/>
        </w:rPr>
      </w:pPr>
      <w:r>
        <w:rPr>
          <w:rFonts w:ascii="仿宋" w:hAnsi="仿宋" w:eastAsia="仿宋"/>
          <w:color w:val="000000"/>
        </w:rPr>
        <w:t>2018年</w:t>
      </w:r>
      <w:r>
        <w:rPr>
          <w:rFonts w:hint="eastAsia" w:ascii="仿宋" w:hAnsi="仿宋" w:eastAsia="仿宋"/>
          <w:color w:val="000000"/>
        </w:rPr>
        <w:t>10</w:t>
      </w:r>
      <w:r>
        <w:rPr>
          <w:rFonts w:ascii="仿宋" w:hAnsi="仿宋" w:eastAsia="仿宋"/>
          <w:color w:val="000000"/>
        </w:rPr>
        <w:t>月3</w:t>
      </w:r>
      <w:r>
        <w:rPr>
          <w:rFonts w:hint="eastAsia" w:ascii="仿宋" w:hAnsi="仿宋" w:eastAsia="仿宋"/>
          <w:color w:val="000000"/>
        </w:rPr>
        <w:t>1</w:t>
      </w:r>
      <w:r>
        <w:rPr>
          <w:rFonts w:ascii="仿宋" w:hAnsi="仿宋" w:eastAsia="仿宋"/>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E12"/>
    <w:multiLevelType w:val="multilevel"/>
    <w:tmpl w:val="3EF15E12"/>
    <w:lvl w:ilvl="0" w:tentative="0">
      <w:start w:val="1"/>
      <w:numFmt w:val="decimal"/>
      <w:lvlText w:val="%1."/>
      <w:lvlJc w:val="left"/>
      <w:pPr>
        <w:ind w:left="825" w:hanging="36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1">
    <w:nsid w:val="46501C13"/>
    <w:multiLevelType w:val="multilevel"/>
    <w:tmpl w:val="46501C13"/>
    <w:lvl w:ilvl="0" w:tentative="0">
      <w:start w:val="1"/>
      <w:numFmt w:val="japaneseCounting"/>
      <w:lvlText w:val="第%1章"/>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19A7"/>
    <w:rsid w:val="00012ED2"/>
    <w:rsid w:val="00042E1E"/>
    <w:rsid w:val="00043667"/>
    <w:rsid w:val="00047BAF"/>
    <w:rsid w:val="00063CB4"/>
    <w:rsid w:val="000938AB"/>
    <w:rsid w:val="000B23DB"/>
    <w:rsid w:val="000C63BF"/>
    <w:rsid w:val="000E3BA1"/>
    <w:rsid w:val="0012331F"/>
    <w:rsid w:val="00130101"/>
    <w:rsid w:val="001651CB"/>
    <w:rsid w:val="00180F34"/>
    <w:rsid w:val="00186F7F"/>
    <w:rsid w:val="001B4650"/>
    <w:rsid w:val="002138CE"/>
    <w:rsid w:val="00234F31"/>
    <w:rsid w:val="00244823"/>
    <w:rsid w:val="002457C3"/>
    <w:rsid w:val="00276FE4"/>
    <w:rsid w:val="002773C9"/>
    <w:rsid w:val="002C7CD9"/>
    <w:rsid w:val="002F2E55"/>
    <w:rsid w:val="002F4A84"/>
    <w:rsid w:val="00350362"/>
    <w:rsid w:val="00350569"/>
    <w:rsid w:val="0037369D"/>
    <w:rsid w:val="00393DFE"/>
    <w:rsid w:val="00395E5B"/>
    <w:rsid w:val="003C1F85"/>
    <w:rsid w:val="00422A3B"/>
    <w:rsid w:val="004425DA"/>
    <w:rsid w:val="00444061"/>
    <w:rsid w:val="004470B3"/>
    <w:rsid w:val="00457EC5"/>
    <w:rsid w:val="00460E5A"/>
    <w:rsid w:val="004614FD"/>
    <w:rsid w:val="0047088B"/>
    <w:rsid w:val="00485FDA"/>
    <w:rsid w:val="004A7E7F"/>
    <w:rsid w:val="004B581C"/>
    <w:rsid w:val="004E1B97"/>
    <w:rsid w:val="004E39B8"/>
    <w:rsid w:val="0050171F"/>
    <w:rsid w:val="005560B7"/>
    <w:rsid w:val="005648FE"/>
    <w:rsid w:val="00572A37"/>
    <w:rsid w:val="005A0B23"/>
    <w:rsid w:val="005B3959"/>
    <w:rsid w:val="005F7933"/>
    <w:rsid w:val="00601F33"/>
    <w:rsid w:val="00606513"/>
    <w:rsid w:val="00610F9C"/>
    <w:rsid w:val="00611B3A"/>
    <w:rsid w:val="006307BB"/>
    <w:rsid w:val="00633206"/>
    <w:rsid w:val="0066400F"/>
    <w:rsid w:val="00672C9A"/>
    <w:rsid w:val="006867BF"/>
    <w:rsid w:val="00687BD8"/>
    <w:rsid w:val="00692B11"/>
    <w:rsid w:val="006A7D21"/>
    <w:rsid w:val="006B65B0"/>
    <w:rsid w:val="006E3F41"/>
    <w:rsid w:val="00707BA7"/>
    <w:rsid w:val="0071457E"/>
    <w:rsid w:val="00716C0D"/>
    <w:rsid w:val="00750E12"/>
    <w:rsid w:val="00756444"/>
    <w:rsid w:val="00767B6C"/>
    <w:rsid w:val="00773228"/>
    <w:rsid w:val="00774207"/>
    <w:rsid w:val="00777571"/>
    <w:rsid w:val="007A184A"/>
    <w:rsid w:val="007A2433"/>
    <w:rsid w:val="007C0486"/>
    <w:rsid w:val="007C11B4"/>
    <w:rsid w:val="007F52A5"/>
    <w:rsid w:val="0081606B"/>
    <w:rsid w:val="008174CC"/>
    <w:rsid w:val="008426CC"/>
    <w:rsid w:val="00847311"/>
    <w:rsid w:val="0084766D"/>
    <w:rsid w:val="00860A5A"/>
    <w:rsid w:val="00867BB6"/>
    <w:rsid w:val="00870FD5"/>
    <w:rsid w:val="00881226"/>
    <w:rsid w:val="00884455"/>
    <w:rsid w:val="008A1B66"/>
    <w:rsid w:val="008B1E81"/>
    <w:rsid w:val="008C34BC"/>
    <w:rsid w:val="008D0DC1"/>
    <w:rsid w:val="008D5572"/>
    <w:rsid w:val="008D77BB"/>
    <w:rsid w:val="008E3C47"/>
    <w:rsid w:val="008E609E"/>
    <w:rsid w:val="00916C4C"/>
    <w:rsid w:val="009350E1"/>
    <w:rsid w:val="009621E2"/>
    <w:rsid w:val="0098345C"/>
    <w:rsid w:val="009927D0"/>
    <w:rsid w:val="009A4071"/>
    <w:rsid w:val="009B2497"/>
    <w:rsid w:val="009C759E"/>
    <w:rsid w:val="009E6909"/>
    <w:rsid w:val="009F0FFE"/>
    <w:rsid w:val="009F6AA8"/>
    <w:rsid w:val="00A1282E"/>
    <w:rsid w:val="00A136B4"/>
    <w:rsid w:val="00A34BC5"/>
    <w:rsid w:val="00A57FA3"/>
    <w:rsid w:val="00A75F07"/>
    <w:rsid w:val="00A8577B"/>
    <w:rsid w:val="00AE1111"/>
    <w:rsid w:val="00AE7355"/>
    <w:rsid w:val="00B226D8"/>
    <w:rsid w:val="00B579C8"/>
    <w:rsid w:val="00BC19A7"/>
    <w:rsid w:val="00BD0361"/>
    <w:rsid w:val="00BD7C16"/>
    <w:rsid w:val="00BE7FB3"/>
    <w:rsid w:val="00BF0DEC"/>
    <w:rsid w:val="00BF7660"/>
    <w:rsid w:val="00C05240"/>
    <w:rsid w:val="00C06866"/>
    <w:rsid w:val="00C54B2A"/>
    <w:rsid w:val="00C64B64"/>
    <w:rsid w:val="00C6757C"/>
    <w:rsid w:val="00C712F6"/>
    <w:rsid w:val="00C86694"/>
    <w:rsid w:val="00CE6E6F"/>
    <w:rsid w:val="00D16A71"/>
    <w:rsid w:val="00D26117"/>
    <w:rsid w:val="00D27092"/>
    <w:rsid w:val="00E15BFF"/>
    <w:rsid w:val="00E22359"/>
    <w:rsid w:val="00E3743D"/>
    <w:rsid w:val="00E40FD7"/>
    <w:rsid w:val="00E41B6D"/>
    <w:rsid w:val="00E57D12"/>
    <w:rsid w:val="00E634A2"/>
    <w:rsid w:val="00EE2CC5"/>
    <w:rsid w:val="00EE5F93"/>
    <w:rsid w:val="00F05BEC"/>
    <w:rsid w:val="00F17248"/>
    <w:rsid w:val="00F214EB"/>
    <w:rsid w:val="00F67495"/>
    <w:rsid w:val="00F83C21"/>
    <w:rsid w:val="00F84E1E"/>
    <w:rsid w:val="00FC204B"/>
    <w:rsid w:val="00FD2D01"/>
    <w:rsid w:val="00FD3508"/>
    <w:rsid w:val="00FE3F1D"/>
    <w:rsid w:val="00FE45F9"/>
    <w:rsid w:val="00FE5461"/>
    <w:rsid w:val="00FE5DAA"/>
    <w:rsid w:val="00FF5A0F"/>
    <w:rsid w:val="06381A01"/>
    <w:rsid w:val="09870470"/>
    <w:rsid w:val="1B2B35C4"/>
    <w:rsid w:val="1F0036DA"/>
    <w:rsid w:val="20FC3ADB"/>
    <w:rsid w:val="286F68BD"/>
    <w:rsid w:val="42585954"/>
    <w:rsid w:val="520E3B4E"/>
    <w:rsid w:val="54B833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annotation reference"/>
    <w:basedOn w:val="7"/>
    <w:semiHidden/>
    <w:unhideWhenUsed/>
    <w:uiPriority w:val="99"/>
    <w:rPr>
      <w:sz w:val="21"/>
      <w:szCs w:val="21"/>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B4D4-1AAB-46FA-95F7-812B399287B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437</Words>
  <Characters>2496</Characters>
  <Lines>20</Lines>
  <Paragraphs>5</Paragraphs>
  <TotalTime>42</TotalTime>
  <ScaleCrop>false</ScaleCrop>
  <LinksUpToDate>false</LinksUpToDate>
  <CharactersWithSpaces>2928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2018-08-27T09:10:00Z</dcterms:created>
  <dc:creator>沈佳乐</dc:creator>
  <cp:lastModifiedBy>pc</cp:lastModifiedBy>
  <dcterms:modified xsi:type="dcterms:W3CDTF">2018-11-08T02:59:47Z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